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CD6CF6" w:rsidRPr="004D4CB1" w:rsidRDefault="004D4CB1" w:rsidP="004D4CB1">
      <w:pPr>
        <w:spacing w:line="340" w:lineRule="exact"/>
        <w:ind w:right="-1" w:firstLine="709"/>
        <w:contextualSpacing/>
        <w:jc w:val="center"/>
        <w:rPr>
          <w:b/>
          <w:sz w:val="24"/>
          <w:szCs w:val="24"/>
        </w:rPr>
      </w:pPr>
      <w:bookmarkStart w:id="0" w:name="_GoBack"/>
      <w:r w:rsidRPr="004D4CB1">
        <w:rPr>
          <w:b/>
          <w:sz w:val="24"/>
          <w:szCs w:val="24"/>
        </w:rPr>
        <w:t>«Лесная амнистия» помогла расставить всё по местам</w:t>
      </w:r>
    </w:p>
    <w:bookmarkEnd w:id="0"/>
    <w:p w:rsidR="004D4CB1" w:rsidRDefault="004D4CB1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Закон о «лесной амнистии» (№280-ФЗ) внес окончательные изменения в земельный и градостроительный кодексы РФ, а также в закон о госрегистрации недвижимости и другие законодательные акты.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Принятие поправок объяснялось необходимостью навести порядок в учете земель в связи со значительными расхождениями между данными государственного лесного реестра и данными Единого государственного реестра недвижимости (ЕГРН) в отношении местоположения границ и площади земель лесного фонда и отдельных лесных участков в его составе.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Такие расхождения на практике вызывали многочисленные споры, связанные с наложением, пересечением границ, двойным учетом земельных участков в составе земель различных категорий. Поправками определен механизм по устранению противоречий в сведениях ЕГРН и государственного лесного реестра в части принадлежности земельных участков к определенной категории земель.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В частности, установлен приоритет сведений ЕГРН над сведениями, содержащимися в государственном лесном реестре, лесном плане субъекта РФ. Законом закреплено, что если земельный участок согласно сведениям государственного лесного реестра, лесного плана субъекта РФ, относится к землям лесного фонда, а в соответствии со сведениями ЕГРН, правоустанавливающими или правоудостоверяющими документами на него - к иной категории земель, его принадлежность к определенной категории земель определяется в соответствии со сведениями ЕГРН (либо в соответствии со сведениями, указанными в правоустанавливающих или правоудостоверяющих документах на участок, при отсутствии сведений в ЕГРН).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Необходимое условие для применения этого правила: права правообладателя или предыдущих правообладателей на земельный участок возникли до 1 января 2016 года. Но на ряд земельных участков указанное правило не распространяется (земельные участки, расположенные в границах особо охраняемых природных территорий, территорий объектов культурного наследия и т.д.).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Если данные о принадлежности земельного участка к землям определенной категории, указанные в ЕГРН, противоречат данным, указанным в правоустанавливающих или правоудостоверяющих документах на него, участок по заявлению правообладателя будет отнесен к категории, указанной в правоустанавливающих или правоудостоверяющих документах, если такие документы были получены до дня вступления в силу закона о «лесной амнистии». Это правило не применяется, если в отношении земельного участка был принят акт о его переводе из одной категории в другую (решение об отнесении земельного участка к определенной категории).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Предусмотрено, что информация о границах лесных участков и правах на них вносится в государственный лесной реестр на основании сведений ЕГРН.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В случае выявления пересечения границ лесных участков с границами земельного участка, права на который зарегистрированы до 1 января 2016 года, если пересечение было выявлено органом регистрации прав при осуществлении регистрации прав на данный участок, обнаружении реестровой ошибки, границы лесных участков изменяются в соответствии с описанием местоположения границ земельного участка, содержащимся в сведениях ЕГРН.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Также установлено, что из государственного лесного реестра исключаются сведения о лесных участках, если сведения о них не внесены в ЕГРН, их границы пересекают границы иных лесных или земельных участков и при этом к моменту исключения сведений в отношении таких участков прекращены или расторгнуты договора аренды.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Предусмотрены законом и специальные нормы о судебной защите: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lastRenderedPageBreak/>
        <w:t xml:space="preserve">- судебные акты, в соответствии с которыми права граждан и юридических лиц на объекты недвижимого имущества подлежат прекращению в связи с тем, что эти объекты находятся в границах лесничества, лесопарка, могут быть обжалованы в порядке и в сроки, которые установлены арбитражным и гражданским процессуальным законодательством;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- граждане, права которых на объекты недвижимого имущества прекращены на основании указанного обстоятельства в соответствии со вступившим в силу судебным актом до дня вступления в силу рассматриваемого федерального закона, вправе требовать в судебном порядке признания их прав на эти объекты. Указанный иск может быть подан в течение одного года со дня вступления в силу рассматриваемого федерального закона.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Кроме того, законом определен порядок перевода земель лесных поселков и военных городков в земли населенных пунктов.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Краснодарского края</w:t>
      </w:r>
      <w:r w:rsidRPr="004D4CB1">
        <w:rPr>
          <w:sz w:val="24"/>
          <w:szCs w:val="24"/>
        </w:rPr>
        <w:t xml:space="preserve"> создана и действует межведомственная рабочая группа с участием филиала ФГБУ «ФКП Росреестра» по </w:t>
      </w:r>
      <w:r>
        <w:rPr>
          <w:sz w:val="24"/>
          <w:szCs w:val="24"/>
        </w:rPr>
        <w:t>Краснодарскому краю</w:t>
      </w:r>
      <w:r w:rsidRPr="004D4CB1">
        <w:rPr>
          <w:sz w:val="24"/>
          <w:szCs w:val="24"/>
        </w:rPr>
        <w:t>. Межведомственная рабочая группа создана с целью решения вопросов, связанных с приведением в соответствие сведений Единого государственного реестра недвижимости и государственного лесного реестра, а также для формирования установленной отчетности, отражающей деятельность межведомственной рабочей группы.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</w:p>
    <w:p w:rsidR="009E57C7" w:rsidRDefault="009E57C7" w:rsidP="0050299B">
      <w:pPr>
        <w:spacing w:before="100" w:beforeAutospacing="1" w:after="100" w:afterAutospacing="1" w:line="0" w:lineRule="atLeast"/>
        <w:contextualSpacing/>
      </w:pPr>
    </w:p>
    <w:p w:rsidR="0050299B" w:rsidRDefault="009E57C7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t>.</w:t>
      </w:r>
      <w:r w:rsidR="0050299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</w:t>
      </w:r>
      <w:r w:rsidR="00CD6CF6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F5" w:rsidRDefault="001A1BF5" w:rsidP="00B51CF4">
      <w:pPr>
        <w:spacing w:after="0" w:line="240" w:lineRule="auto"/>
      </w:pPr>
      <w:r>
        <w:separator/>
      </w:r>
    </w:p>
  </w:endnote>
  <w:endnote w:type="continuationSeparator" w:id="1">
    <w:p w:rsidR="001A1BF5" w:rsidRDefault="001A1BF5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F5" w:rsidRDefault="001A1BF5" w:rsidP="00B51CF4">
      <w:pPr>
        <w:spacing w:after="0" w:line="240" w:lineRule="auto"/>
      </w:pPr>
      <w:r>
        <w:separator/>
      </w:r>
    </w:p>
  </w:footnote>
  <w:footnote w:type="continuationSeparator" w:id="1">
    <w:p w:rsidR="001A1BF5" w:rsidRDefault="001A1BF5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C5E"/>
    <w:rsid w:val="00031E8D"/>
    <w:rsid w:val="000419CF"/>
    <w:rsid w:val="00085C7E"/>
    <w:rsid w:val="00087528"/>
    <w:rsid w:val="000D0AE7"/>
    <w:rsid w:val="00161FEB"/>
    <w:rsid w:val="001A1BF5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A0E18"/>
    <w:rsid w:val="004D4CB1"/>
    <w:rsid w:val="004E2095"/>
    <w:rsid w:val="0050299B"/>
    <w:rsid w:val="00523BD0"/>
    <w:rsid w:val="005317BD"/>
    <w:rsid w:val="005E3CB7"/>
    <w:rsid w:val="00636406"/>
    <w:rsid w:val="00691289"/>
    <w:rsid w:val="006B1CE1"/>
    <w:rsid w:val="006F523B"/>
    <w:rsid w:val="00715DF8"/>
    <w:rsid w:val="007763D0"/>
    <w:rsid w:val="007832E4"/>
    <w:rsid w:val="00790ECF"/>
    <w:rsid w:val="007A13C3"/>
    <w:rsid w:val="007B0467"/>
    <w:rsid w:val="00844985"/>
    <w:rsid w:val="008522E3"/>
    <w:rsid w:val="008F1EA7"/>
    <w:rsid w:val="008F49AC"/>
    <w:rsid w:val="009416B6"/>
    <w:rsid w:val="009A5C5E"/>
    <w:rsid w:val="009E57C7"/>
    <w:rsid w:val="00A6797F"/>
    <w:rsid w:val="00AB5B79"/>
    <w:rsid w:val="00AD15EB"/>
    <w:rsid w:val="00AE2B97"/>
    <w:rsid w:val="00AE485D"/>
    <w:rsid w:val="00B51CF4"/>
    <w:rsid w:val="00BB5993"/>
    <w:rsid w:val="00BE4CD4"/>
    <w:rsid w:val="00C0532A"/>
    <w:rsid w:val="00C2030A"/>
    <w:rsid w:val="00C340E0"/>
    <w:rsid w:val="00C60441"/>
    <w:rsid w:val="00C607D9"/>
    <w:rsid w:val="00C6704B"/>
    <w:rsid w:val="00CD6CF6"/>
    <w:rsid w:val="00D47B17"/>
    <w:rsid w:val="00D90D70"/>
    <w:rsid w:val="00D9594B"/>
    <w:rsid w:val="00DA4E20"/>
    <w:rsid w:val="00E206EC"/>
    <w:rsid w:val="00E277B8"/>
    <w:rsid w:val="00E75263"/>
    <w:rsid w:val="00EC7F90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Поселение_2</cp:lastModifiedBy>
  <cp:revision>4</cp:revision>
  <dcterms:created xsi:type="dcterms:W3CDTF">2018-04-07T09:37:00Z</dcterms:created>
  <dcterms:modified xsi:type="dcterms:W3CDTF">2018-04-12T08:04:00Z</dcterms:modified>
</cp:coreProperties>
</file>